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FE5" w:rsidRPr="004B7E17" w:rsidRDefault="00EE1F78" w:rsidP="00ED3FE5">
      <w:pPr>
        <w:widowControl w:val="0"/>
        <w:tabs>
          <w:tab w:val="right" w:pos="9639"/>
          <w:tab w:val="right" w:pos="13323"/>
        </w:tabs>
        <w:spacing w:after="0"/>
        <w:rPr>
          <w:rFonts w:ascii="Arial" w:hAnsi="Arial" w:cs="Arial"/>
          <w:b/>
          <w:noProof/>
          <w:sz w:val="24"/>
          <w:szCs w:val="24"/>
          <w:lang w:val="en-US" w:eastAsia="ja-JP"/>
        </w:rPr>
      </w:pPr>
      <w:r>
        <w:rPr>
          <w:b/>
          <w:noProof/>
          <w:sz w:val="24"/>
        </w:rPr>
        <w:t>3GPP TSG-RAN4 Meeting #84</w:t>
      </w:r>
      <w:r w:rsidR="00ED3FE5" w:rsidRPr="004B7E17">
        <w:rPr>
          <w:rFonts w:ascii="Arial" w:hAnsi="Arial" w:cs="Arial"/>
          <w:b/>
          <w:noProof/>
          <w:sz w:val="24"/>
          <w:szCs w:val="24"/>
          <w:lang w:val="en-US"/>
        </w:rPr>
        <w:tab/>
      </w:r>
      <w:r w:rsidR="00572594" w:rsidRPr="00572594">
        <w:rPr>
          <w:rFonts w:ascii="Arial" w:hAnsi="Arial" w:cs="Arial"/>
          <w:b/>
          <w:noProof/>
          <w:sz w:val="24"/>
          <w:szCs w:val="24"/>
          <w:lang w:val="en-US"/>
        </w:rPr>
        <w:t>R4-1707793</w:t>
      </w:r>
    </w:p>
    <w:p w:rsidR="00EE1F78" w:rsidRDefault="00EE1F78" w:rsidP="00EE1F78">
      <w:pPr>
        <w:pStyle w:val="CRCoverPage"/>
        <w:outlineLvl w:val="0"/>
        <w:rPr>
          <w:b/>
          <w:noProof/>
          <w:sz w:val="24"/>
        </w:rPr>
      </w:pPr>
      <w:r>
        <w:rPr>
          <w:b/>
          <w:noProof/>
          <w:sz w:val="24"/>
        </w:rPr>
        <w:t>Berlin, DE, 21</w:t>
      </w:r>
      <w:r>
        <w:rPr>
          <w:b/>
          <w:noProof/>
          <w:sz w:val="24"/>
          <w:vertAlign w:val="superscript"/>
        </w:rPr>
        <w:t>st</w:t>
      </w:r>
      <w:r>
        <w:rPr>
          <w:b/>
          <w:noProof/>
          <w:sz w:val="24"/>
        </w:rPr>
        <w:t xml:space="preserve"> – 25</w:t>
      </w:r>
      <w:r w:rsidRPr="006905A5">
        <w:rPr>
          <w:b/>
          <w:noProof/>
          <w:sz w:val="24"/>
          <w:vertAlign w:val="superscript"/>
        </w:rPr>
        <w:t>th</w:t>
      </w:r>
      <w:r>
        <w:rPr>
          <w:b/>
          <w:noProof/>
          <w:sz w:val="24"/>
        </w:rPr>
        <w:t xml:space="preserve"> August 2017</w:t>
      </w:r>
    </w:p>
    <w:p w:rsidR="00462F31" w:rsidRDefault="00462F31" w:rsidP="003C016E">
      <w:pPr>
        <w:pStyle w:val="Header"/>
        <w:rPr>
          <w:b w:val="0"/>
          <w:sz w:val="24"/>
        </w:rPr>
      </w:pP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B2941">
        <w:rPr>
          <w:rFonts w:ascii="Arial" w:hAnsi="Arial"/>
          <w:sz w:val="24"/>
          <w:lang w:val="en-US"/>
        </w:rPr>
        <w:t xml:space="preserve">Transient period </w:t>
      </w:r>
      <w:r w:rsidR="004330B8">
        <w:rPr>
          <w:rFonts w:ascii="Arial" w:hAnsi="Arial"/>
          <w:sz w:val="24"/>
          <w:lang w:val="en-US"/>
        </w:rPr>
        <w:t xml:space="preserve">and its location </w:t>
      </w:r>
      <w:r w:rsidR="001B2941">
        <w:rPr>
          <w:rFonts w:ascii="Arial" w:hAnsi="Arial"/>
          <w:sz w:val="24"/>
          <w:lang w:val="en-US"/>
        </w:rPr>
        <w:t>in the presence of SRS</w:t>
      </w:r>
    </w:p>
    <w:p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6A128A">
        <w:rPr>
          <w:rFonts w:ascii="Arial" w:hAnsi="Arial"/>
          <w:sz w:val="24"/>
          <w:lang w:val="en-US"/>
        </w:rPr>
        <w:t>8.27.2</w:t>
      </w:r>
    </w:p>
    <w:p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rsidR="00ED7522" w:rsidRDefault="000E0602" w:rsidP="006866E3">
      <w:pPr>
        <w:pStyle w:val="Heading1"/>
        <w:tabs>
          <w:tab w:val="clear" w:pos="432"/>
          <w:tab w:val="num" w:pos="522"/>
        </w:tabs>
        <w:ind w:left="522" w:hanging="522"/>
        <w:rPr>
          <w:lang w:val="en-US"/>
        </w:rPr>
      </w:pPr>
      <w:r>
        <w:rPr>
          <w:lang w:val="en-US"/>
        </w:rPr>
        <w:t>Introduction</w:t>
      </w:r>
    </w:p>
    <w:p w:rsidR="00C15C1A" w:rsidRPr="00F22934" w:rsidRDefault="00364918" w:rsidP="00F22934">
      <w:pPr>
        <w:rPr>
          <w:lang w:val="en-US"/>
        </w:rPr>
      </w:pPr>
      <w:r>
        <w:rPr>
          <w:lang w:val="en-US"/>
        </w:rPr>
        <w:t xml:space="preserve">In [1], the transient period and its location for the cases without SRS have been discussed. In this </w:t>
      </w:r>
      <w:r w:rsidR="000947CB">
        <w:rPr>
          <w:lang w:val="en-US"/>
        </w:rPr>
        <w:t>paper,</w:t>
      </w:r>
      <w:r>
        <w:rPr>
          <w:lang w:val="en-US"/>
        </w:rPr>
        <w:t xml:space="preserve"> we present proposals for the same in the presence of SRS.</w:t>
      </w:r>
    </w:p>
    <w:p w:rsidR="00C15C1A" w:rsidRDefault="006866E3" w:rsidP="00A67A30">
      <w:pPr>
        <w:pStyle w:val="Heading1"/>
        <w:rPr>
          <w:lang w:val="en-US"/>
        </w:rPr>
      </w:pPr>
      <w:r w:rsidRPr="00C15C1A">
        <w:rPr>
          <w:lang w:val="en-US"/>
        </w:rPr>
        <w:t>Discussion</w:t>
      </w:r>
    </w:p>
    <w:p w:rsidR="005C6C00" w:rsidRDefault="0059179A" w:rsidP="0059179A">
      <w:pPr>
        <w:pStyle w:val="Heading2"/>
        <w:rPr>
          <w:lang w:val="en-US"/>
        </w:rPr>
      </w:pPr>
      <w:r>
        <w:rPr>
          <w:lang w:val="en-US"/>
        </w:rPr>
        <w:t xml:space="preserve">Transient period between two 2 </w:t>
      </w:r>
      <w:proofErr w:type="spellStart"/>
      <w:r>
        <w:rPr>
          <w:lang w:val="en-US"/>
        </w:rPr>
        <w:t>osTTIs</w:t>
      </w:r>
      <w:proofErr w:type="spellEnd"/>
      <w:r>
        <w:rPr>
          <w:lang w:val="en-US"/>
        </w:rPr>
        <w:t xml:space="preserve"> in the presence of SRS</w:t>
      </w:r>
    </w:p>
    <w:p w:rsidR="0059179A" w:rsidRDefault="0059179A" w:rsidP="0059179A">
      <w:pPr>
        <w:rPr>
          <w:lang w:val="en-US"/>
        </w:rPr>
      </w:pPr>
      <w:r>
        <w:rPr>
          <w:lang w:val="en-US"/>
        </w:rPr>
        <w:t xml:space="preserve">As shown in figure [1], when one of the </w:t>
      </w:r>
      <w:proofErr w:type="spellStart"/>
      <w:r>
        <w:rPr>
          <w:lang w:val="en-US"/>
        </w:rPr>
        <w:t>sTTIs</w:t>
      </w:r>
      <w:proofErr w:type="spellEnd"/>
      <w:r>
        <w:rPr>
          <w:lang w:val="en-US"/>
        </w:rPr>
        <w:t xml:space="preserve"> has SRS, then the location of the transient period is dependent on the contents of sTTI. In case the next symbol to SRS is a reference then proposal is to place the entire transient in the reference. Instead if its data then proposal is to share the transient symmetrically between SRS and Data as </w:t>
      </w:r>
      <w:r w:rsidR="005A79FE">
        <w:rPr>
          <w:lang w:val="en-US"/>
        </w:rPr>
        <w:t>shown in figure [1-3</w:t>
      </w:r>
      <w:r>
        <w:rPr>
          <w:lang w:val="en-US"/>
        </w:rPr>
        <w:t xml:space="preserve">]. </w:t>
      </w:r>
    </w:p>
    <w:p w:rsidR="0059179A" w:rsidRDefault="0066588C" w:rsidP="0059179A">
      <w:r>
        <w:object w:dxaOrig="13395" w:dyaOrig="2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05.75pt" o:ole="">
            <v:imagedata r:id="rId8" o:title=""/>
          </v:shape>
          <o:OLEObject Type="Embed" ProgID="Visio.Drawing.11" ShapeID="_x0000_i1025" DrawAspect="Content" ObjectID="_1563946218" r:id="rId9"/>
        </w:object>
      </w:r>
    </w:p>
    <w:p w:rsidR="008303EF" w:rsidRDefault="008303EF" w:rsidP="008303EF">
      <w:pPr>
        <w:jc w:val="center"/>
      </w:pPr>
      <w:r>
        <w:t>Figure 1: Reference symbol is right next to SRS</w:t>
      </w:r>
    </w:p>
    <w:p w:rsidR="008303EF" w:rsidRDefault="008303EF" w:rsidP="008303EF"/>
    <w:p w:rsidR="008303EF" w:rsidRDefault="0066588C" w:rsidP="008303EF">
      <w:r>
        <w:object w:dxaOrig="13395" w:dyaOrig="2946">
          <v:shape id="_x0000_i1026" type="#_x0000_t75" style="width:480.75pt;height:105.75pt" o:ole="">
            <v:imagedata r:id="rId10" o:title=""/>
          </v:shape>
          <o:OLEObject Type="Embed" ProgID="Visio.Drawing.11" ShapeID="_x0000_i1026" DrawAspect="Content" ObjectID="_1563946219" r:id="rId11"/>
        </w:object>
      </w:r>
    </w:p>
    <w:p w:rsidR="008303EF" w:rsidRPr="0059179A" w:rsidRDefault="008303EF" w:rsidP="008303EF">
      <w:pPr>
        <w:jc w:val="center"/>
        <w:rPr>
          <w:lang w:val="en-US"/>
        </w:rPr>
      </w:pPr>
      <w:r>
        <w:t>Figure 2: Data symbol is right next to SRS</w:t>
      </w:r>
    </w:p>
    <w:p w:rsidR="00DF151F" w:rsidRDefault="0066588C" w:rsidP="00ED3FE5">
      <w:r>
        <w:object w:dxaOrig="13395" w:dyaOrig="2946">
          <v:shape id="_x0000_i1027" type="#_x0000_t75" style="width:480.75pt;height:105.75pt" o:ole="">
            <v:imagedata r:id="rId12" o:title=""/>
          </v:shape>
          <o:OLEObject Type="Embed" ProgID="Visio.Drawing.11" ShapeID="_x0000_i1027" DrawAspect="Content" ObjectID="_1563946220" r:id="rId13"/>
        </w:object>
      </w:r>
    </w:p>
    <w:p w:rsidR="005A79FE" w:rsidRDefault="005A79FE" w:rsidP="005A79FE">
      <w:pPr>
        <w:jc w:val="center"/>
      </w:pPr>
      <w:r>
        <w:t>Figure 3: When reference is one side and data on the other side of SRS.</w:t>
      </w:r>
    </w:p>
    <w:p w:rsidR="005A79FE" w:rsidRDefault="005A79FE" w:rsidP="005A79FE">
      <w:pPr>
        <w:jc w:val="center"/>
        <w:rPr>
          <w:lang w:val="en-US"/>
        </w:rPr>
      </w:pPr>
    </w:p>
    <w:p w:rsidR="00DC5A37" w:rsidRPr="009C7062" w:rsidRDefault="00DC5A37" w:rsidP="00DC5A37">
      <w:pPr>
        <w:rPr>
          <w:b/>
          <w:lang w:val="en-US"/>
        </w:rPr>
      </w:pPr>
      <w:r w:rsidRPr="009C7062">
        <w:rPr>
          <w:b/>
          <w:lang w:val="en-US"/>
        </w:rPr>
        <w:t xml:space="preserve">Proposal 1: </w:t>
      </w:r>
    </w:p>
    <w:p w:rsidR="00DC5A37" w:rsidRDefault="00DC5A37" w:rsidP="00DC5A37">
      <w:pPr>
        <w:pStyle w:val="ListParagraph"/>
        <w:numPr>
          <w:ilvl w:val="0"/>
          <w:numId w:val="21"/>
        </w:numPr>
        <w:rPr>
          <w:lang w:val="en-US"/>
        </w:rPr>
      </w:pPr>
      <w:r>
        <w:rPr>
          <w:lang w:val="en-US"/>
        </w:rPr>
        <w:t>When reference</w:t>
      </w:r>
      <w:r w:rsidR="0044695C">
        <w:rPr>
          <w:lang w:val="en-US"/>
        </w:rPr>
        <w:t xml:space="preserve"> symbol is next to SRS in a 2</w:t>
      </w:r>
      <w:r>
        <w:rPr>
          <w:lang w:val="en-US"/>
        </w:rPr>
        <w:t>os TTI</w:t>
      </w:r>
      <w:r w:rsidR="0044695C">
        <w:rPr>
          <w:lang w:val="en-US"/>
        </w:rPr>
        <w:t>,</w:t>
      </w:r>
      <w:r>
        <w:rPr>
          <w:lang w:val="en-US"/>
        </w:rPr>
        <w:t xml:space="preserve"> then the transient period </w:t>
      </w:r>
      <w:r w:rsidR="008A3CE9">
        <w:rPr>
          <w:lang w:val="en-US"/>
        </w:rPr>
        <w:t xml:space="preserve">should be placed </w:t>
      </w:r>
      <w:r w:rsidR="0044695C">
        <w:rPr>
          <w:lang w:val="en-US"/>
        </w:rPr>
        <w:t>entirely in r</w:t>
      </w:r>
      <w:r>
        <w:rPr>
          <w:lang w:val="en-US"/>
        </w:rPr>
        <w:t>eference</w:t>
      </w:r>
      <w:r w:rsidR="0044695C">
        <w:rPr>
          <w:lang w:val="en-US"/>
        </w:rPr>
        <w:t xml:space="preserve"> symbol. </w:t>
      </w:r>
    </w:p>
    <w:p w:rsidR="00DC5A37" w:rsidRDefault="00DC5A37" w:rsidP="00DC5A37">
      <w:pPr>
        <w:pStyle w:val="ListParagraph"/>
        <w:numPr>
          <w:ilvl w:val="0"/>
          <w:numId w:val="21"/>
        </w:numPr>
        <w:rPr>
          <w:lang w:val="en-US"/>
        </w:rPr>
      </w:pPr>
      <w:r>
        <w:rPr>
          <w:lang w:val="en-US"/>
        </w:rPr>
        <w:t xml:space="preserve">Transient period should be 20 usec. </w:t>
      </w:r>
    </w:p>
    <w:p w:rsidR="008E6A37" w:rsidRPr="009C7062" w:rsidRDefault="008E6A37" w:rsidP="008E6A37">
      <w:pPr>
        <w:rPr>
          <w:b/>
          <w:lang w:val="en-US"/>
        </w:rPr>
      </w:pPr>
      <w:r w:rsidRPr="009C7062">
        <w:rPr>
          <w:b/>
          <w:lang w:val="en-US"/>
        </w:rPr>
        <w:t xml:space="preserve">Proposal 2: </w:t>
      </w:r>
    </w:p>
    <w:p w:rsidR="008E6A37" w:rsidRDefault="008E6A37" w:rsidP="008E6A37">
      <w:pPr>
        <w:pStyle w:val="ListParagraph"/>
        <w:numPr>
          <w:ilvl w:val="0"/>
          <w:numId w:val="22"/>
        </w:numPr>
        <w:rPr>
          <w:lang w:val="en-US"/>
        </w:rPr>
      </w:pPr>
      <w:r>
        <w:rPr>
          <w:lang w:val="en-US"/>
        </w:rPr>
        <w:t xml:space="preserve">When data symbol is next to SRS then the transient period should be symmetrical between SRS and data. </w:t>
      </w:r>
    </w:p>
    <w:p w:rsidR="008E6A37" w:rsidRDefault="008E6A37" w:rsidP="008E6A37">
      <w:pPr>
        <w:pStyle w:val="ListParagraph"/>
        <w:numPr>
          <w:ilvl w:val="0"/>
          <w:numId w:val="22"/>
        </w:numPr>
        <w:rPr>
          <w:lang w:val="en-US"/>
        </w:rPr>
      </w:pPr>
      <w:r>
        <w:rPr>
          <w:lang w:val="en-US"/>
        </w:rPr>
        <w:t xml:space="preserve">Transient period should be ±10 usec. </w:t>
      </w:r>
    </w:p>
    <w:p w:rsidR="008E6A37" w:rsidRDefault="008E6A37" w:rsidP="008E6A37">
      <w:pPr>
        <w:rPr>
          <w:lang w:val="en-US"/>
        </w:rPr>
      </w:pPr>
    </w:p>
    <w:p w:rsidR="00CD2475" w:rsidRDefault="00CD2475" w:rsidP="00CD2475">
      <w:pPr>
        <w:pStyle w:val="Heading2"/>
        <w:rPr>
          <w:lang w:val="en-US"/>
        </w:rPr>
      </w:pPr>
      <w:r>
        <w:rPr>
          <w:lang w:val="en-US"/>
        </w:rPr>
        <w:t xml:space="preserve">Transient period and its location between two 7osTTI </w:t>
      </w:r>
      <w:r w:rsidR="00A33BE2">
        <w:rPr>
          <w:lang w:val="en-US"/>
        </w:rPr>
        <w:t xml:space="preserve">or between 7os and 1msec TTI </w:t>
      </w:r>
      <w:r w:rsidR="00210ACF">
        <w:rPr>
          <w:lang w:val="en-US"/>
        </w:rPr>
        <w:t>in the presence of</w:t>
      </w:r>
      <w:r>
        <w:rPr>
          <w:lang w:val="en-US"/>
        </w:rPr>
        <w:t xml:space="preserve"> SRS</w:t>
      </w:r>
    </w:p>
    <w:p w:rsidR="00CD2475" w:rsidRDefault="000D0E1E" w:rsidP="00CD2475">
      <w:pPr>
        <w:rPr>
          <w:lang w:val="en-US"/>
        </w:rPr>
      </w:pPr>
      <w:r>
        <w:rPr>
          <w:lang w:val="en-US"/>
        </w:rPr>
        <w:t xml:space="preserve">Since the duration of 7os TTI is a slot and since the transient periods are already defined at the slot boundaries in LTE, SRS in 7os TTI should be treated the same was that in 1msec TTI. </w:t>
      </w:r>
      <w:r w:rsidR="00DD6D22">
        <w:rPr>
          <w:lang w:val="en-US"/>
        </w:rPr>
        <w:t xml:space="preserve">In the presence of SRS, </w:t>
      </w:r>
      <w:r w:rsidR="0066588C">
        <w:rPr>
          <w:lang w:val="en-US"/>
        </w:rPr>
        <w:t>Transient period</w:t>
      </w:r>
      <w:r w:rsidR="00DD6D22">
        <w:rPr>
          <w:lang w:val="en-US"/>
        </w:rPr>
        <w:t xml:space="preserve"> should be place</w:t>
      </w:r>
      <w:r w:rsidR="008F0611">
        <w:rPr>
          <w:lang w:val="en-US"/>
        </w:rPr>
        <w:t>d</w:t>
      </w:r>
      <w:r w:rsidR="00DD6D22">
        <w:rPr>
          <w:lang w:val="en-US"/>
        </w:rPr>
        <w:t xml:space="preserve"> completely outside SRS. </w:t>
      </w:r>
    </w:p>
    <w:p w:rsidR="008F0611" w:rsidRDefault="00E84FCB" w:rsidP="00CD2475">
      <w:pPr>
        <w:rPr>
          <w:lang w:val="en-US"/>
        </w:rPr>
      </w:pPr>
      <w:r>
        <w:object w:dxaOrig="13395" w:dyaOrig="2946">
          <v:shape id="_x0000_i1028" type="#_x0000_t75" style="width:480.75pt;height:105.75pt" o:ole="">
            <v:imagedata r:id="rId14" o:title=""/>
          </v:shape>
          <o:OLEObject Type="Embed" ProgID="Visio.Drawing.11" ShapeID="_x0000_i1028" DrawAspect="Content" ObjectID="_1563946221" r:id="rId15"/>
        </w:object>
      </w:r>
    </w:p>
    <w:p w:rsidR="008F0611" w:rsidRPr="00CD2475" w:rsidRDefault="00D31473" w:rsidP="00D31473">
      <w:pPr>
        <w:jc w:val="center"/>
        <w:rPr>
          <w:lang w:val="en-US"/>
        </w:rPr>
      </w:pPr>
      <w:r>
        <w:rPr>
          <w:lang w:val="en-US"/>
        </w:rPr>
        <w:t xml:space="preserve">Figure 4: </w:t>
      </w:r>
      <w:r w:rsidR="0066588C">
        <w:rPr>
          <w:lang w:val="en-US"/>
        </w:rPr>
        <w:t>Transient period</w:t>
      </w:r>
      <w:r>
        <w:rPr>
          <w:lang w:val="en-US"/>
        </w:rPr>
        <w:t xml:space="preserve"> between two 7OS TTI in the presence of SRS</w:t>
      </w:r>
    </w:p>
    <w:p w:rsidR="008303EF" w:rsidRPr="00C37845" w:rsidRDefault="00CF1378" w:rsidP="00ED3FE5">
      <w:pPr>
        <w:rPr>
          <w:b/>
          <w:lang w:val="en-US"/>
        </w:rPr>
      </w:pPr>
      <w:r w:rsidRPr="00C37845">
        <w:rPr>
          <w:b/>
          <w:lang w:val="en-US"/>
        </w:rPr>
        <w:t xml:space="preserve">Proposal 3: </w:t>
      </w:r>
    </w:p>
    <w:p w:rsidR="00CF1378" w:rsidRDefault="005C5819" w:rsidP="00CF1378">
      <w:pPr>
        <w:pStyle w:val="ListParagraph"/>
        <w:numPr>
          <w:ilvl w:val="0"/>
          <w:numId w:val="23"/>
        </w:numPr>
        <w:rPr>
          <w:lang w:val="en-US"/>
        </w:rPr>
      </w:pPr>
      <w:r>
        <w:rPr>
          <w:lang w:val="en-US"/>
        </w:rPr>
        <w:t xml:space="preserve">In the presence of SRS, the transient period between two 7osTTIs TTI should be placed outside that of SRS. </w:t>
      </w:r>
    </w:p>
    <w:p w:rsidR="005C5819" w:rsidRDefault="005C5819" w:rsidP="00CF1378">
      <w:pPr>
        <w:pStyle w:val="ListParagraph"/>
        <w:numPr>
          <w:ilvl w:val="0"/>
          <w:numId w:val="23"/>
        </w:numPr>
        <w:rPr>
          <w:lang w:val="en-US"/>
        </w:rPr>
      </w:pPr>
      <w:r>
        <w:rPr>
          <w:lang w:val="en-US"/>
        </w:rPr>
        <w:t xml:space="preserve">The transient period should be 20 usec. </w:t>
      </w:r>
    </w:p>
    <w:p w:rsidR="0009084A" w:rsidRPr="0009084A" w:rsidRDefault="0009084A" w:rsidP="0009084A">
      <w:pPr>
        <w:rPr>
          <w:lang w:val="en-US"/>
        </w:rPr>
      </w:pPr>
    </w:p>
    <w:p w:rsidR="0033168F" w:rsidRDefault="0033168F" w:rsidP="0033168F">
      <w:pPr>
        <w:rPr>
          <w:lang w:val="en-US"/>
        </w:rPr>
      </w:pPr>
    </w:p>
    <w:p w:rsidR="003D1BD4" w:rsidRDefault="003D1BD4" w:rsidP="0033168F">
      <w:r>
        <w:object w:dxaOrig="13395" w:dyaOrig="2946">
          <v:shape id="_x0000_i1029" type="#_x0000_t75" style="width:480.75pt;height:105.75pt" o:ole="">
            <v:imagedata r:id="rId16" o:title=""/>
          </v:shape>
          <o:OLEObject Type="Embed" ProgID="Visio.Drawing.11" ShapeID="_x0000_i1029" DrawAspect="Content" ObjectID="_1563946222" r:id="rId17"/>
        </w:object>
      </w:r>
    </w:p>
    <w:p w:rsidR="0009084A" w:rsidRPr="00CD2475" w:rsidRDefault="0009084A" w:rsidP="0009084A">
      <w:pPr>
        <w:jc w:val="center"/>
        <w:rPr>
          <w:lang w:val="en-US"/>
        </w:rPr>
      </w:pPr>
      <w:r>
        <w:rPr>
          <w:lang w:val="en-US"/>
        </w:rPr>
        <w:t>Figure 5: Transient period between 1msec TTI and 7OS TTI in the presence of SRS in 1msec TTI</w:t>
      </w:r>
    </w:p>
    <w:p w:rsidR="0033168F" w:rsidRDefault="00661B3A" w:rsidP="0033168F">
      <w:r>
        <w:object w:dxaOrig="13395" w:dyaOrig="2946">
          <v:shape id="_x0000_i1030" type="#_x0000_t75" style="width:480.75pt;height:105.75pt" o:ole="">
            <v:imagedata r:id="rId18" o:title=""/>
          </v:shape>
          <o:OLEObject Type="Embed" ProgID="Visio.Drawing.11" ShapeID="_x0000_i1030" DrawAspect="Content" ObjectID="_1563946223" r:id="rId19"/>
        </w:object>
      </w:r>
    </w:p>
    <w:p w:rsidR="00661B3A" w:rsidRDefault="00661B3A" w:rsidP="00661B3A">
      <w:pPr>
        <w:jc w:val="center"/>
        <w:rPr>
          <w:lang w:val="en-US"/>
        </w:rPr>
      </w:pPr>
      <w:r>
        <w:rPr>
          <w:lang w:val="en-US"/>
        </w:rPr>
        <w:t>Figure 6: Transient period between 1msec TTI and 7OS TTI in the presence of SRS in 7os TTI</w:t>
      </w:r>
    </w:p>
    <w:p w:rsidR="007D2AE8" w:rsidRDefault="007D2AE8" w:rsidP="007D2AE8">
      <w:pPr>
        <w:rPr>
          <w:lang w:val="en-US"/>
        </w:rPr>
      </w:pPr>
    </w:p>
    <w:p w:rsidR="007D2AE8" w:rsidRPr="007D2AE8" w:rsidRDefault="007D2AE8" w:rsidP="007D2AE8">
      <w:pPr>
        <w:rPr>
          <w:b/>
          <w:lang w:val="en-US"/>
        </w:rPr>
      </w:pPr>
      <w:r w:rsidRPr="007D2AE8">
        <w:rPr>
          <w:b/>
          <w:lang w:val="en-US"/>
        </w:rPr>
        <w:t xml:space="preserve">Proposal 4: </w:t>
      </w:r>
    </w:p>
    <w:p w:rsidR="007D2AE8" w:rsidRDefault="007D2AE8" w:rsidP="004C4156">
      <w:pPr>
        <w:pStyle w:val="ListParagraph"/>
        <w:numPr>
          <w:ilvl w:val="0"/>
          <w:numId w:val="25"/>
        </w:numPr>
        <w:rPr>
          <w:lang w:val="en-US"/>
        </w:rPr>
      </w:pPr>
      <w:r w:rsidRPr="004C4156">
        <w:rPr>
          <w:lang w:val="en-US"/>
        </w:rPr>
        <w:t>In the presence of SRS</w:t>
      </w:r>
      <w:r w:rsidR="00C62B10">
        <w:rPr>
          <w:lang w:val="en-US"/>
        </w:rPr>
        <w:t>,</w:t>
      </w:r>
      <w:r w:rsidRPr="004C4156">
        <w:rPr>
          <w:lang w:val="en-US"/>
        </w:rPr>
        <w:t xml:space="preserve"> the </w:t>
      </w:r>
      <w:r w:rsidR="00C62B10">
        <w:rPr>
          <w:lang w:val="en-US"/>
        </w:rPr>
        <w:t>t</w:t>
      </w:r>
      <w:r w:rsidR="004C4156">
        <w:rPr>
          <w:lang w:val="en-US"/>
        </w:rPr>
        <w:t xml:space="preserve">ransient period should be placed outside </w:t>
      </w:r>
      <w:r w:rsidR="002A043C">
        <w:rPr>
          <w:lang w:val="en-US"/>
        </w:rPr>
        <w:t>SRS as shown in figures [5,6].</w:t>
      </w:r>
    </w:p>
    <w:p w:rsidR="004C4156" w:rsidRDefault="004C4156" w:rsidP="004C4156">
      <w:pPr>
        <w:pStyle w:val="ListParagraph"/>
        <w:numPr>
          <w:ilvl w:val="0"/>
          <w:numId w:val="25"/>
        </w:numPr>
        <w:rPr>
          <w:lang w:val="en-US"/>
        </w:rPr>
      </w:pPr>
      <w:r>
        <w:rPr>
          <w:lang w:val="en-US"/>
        </w:rPr>
        <w:t xml:space="preserve">The transient period inside </w:t>
      </w:r>
      <w:r w:rsidR="001405C6">
        <w:rPr>
          <w:lang w:val="en-US"/>
        </w:rPr>
        <w:t xml:space="preserve">that of </w:t>
      </w:r>
      <w:r>
        <w:rPr>
          <w:lang w:val="en-US"/>
        </w:rPr>
        <w:t xml:space="preserve">7os TTI should be 20 usec </w:t>
      </w:r>
    </w:p>
    <w:p w:rsidR="00661B3A" w:rsidRDefault="004C4156" w:rsidP="004C4156">
      <w:pPr>
        <w:pStyle w:val="ListParagraph"/>
        <w:numPr>
          <w:ilvl w:val="0"/>
          <w:numId w:val="25"/>
        </w:numPr>
        <w:rPr>
          <w:lang w:val="en-US"/>
        </w:rPr>
      </w:pPr>
      <w:r>
        <w:rPr>
          <w:lang w:val="en-US"/>
        </w:rPr>
        <w:t xml:space="preserve">The transient period inside </w:t>
      </w:r>
      <w:r w:rsidR="001405C6">
        <w:rPr>
          <w:lang w:val="en-US"/>
        </w:rPr>
        <w:t xml:space="preserve">that of </w:t>
      </w:r>
      <w:r>
        <w:rPr>
          <w:lang w:val="en-US"/>
        </w:rPr>
        <w:t xml:space="preserve">1msec TTI should be 40 usec. </w:t>
      </w:r>
    </w:p>
    <w:p w:rsidR="004C4156" w:rsidRPr="0033168F" w:rsidRDefault="004C4156" w:rsidP="004C4156">
      <w:pPr>
        <w:pStyle w:val="ListParagraph"/>
        <w:rPr>
          <w:lang w:val="en-US"/>
        </w:rPr>
      </w:pPr>
    </w:p>
    <w:p w:rsidR="00210ACF" w:rsidRDefault="00210ACF" w:rsidP="00210ACF">
      <w:pPr>
        <w:pStyle w:val="Heading2"/>
        <w:rPr>
          <w:lang w:val="en-US"/>
        </w:rPr>
      </w:pPr>
      <w:r>
        <w:rPr>
          <w:lang w:val="en-US"/>
        </w:rPr>
        <w:t xml:space="preserve"> Transient period and its location between 2os TTI and 1msec TTI in the presence of SRS</w:t>
      </w:r>
    </w:p>
    <w:p w:rsidR="00F9088C" w:rsidRDefault="00F9088C" w:rsidP="00F9088C">
      <w:pPr>
        <w:rPr>
          <w:lang w:val="en-US"/>
        </w:rPr>
      </w:pPr>
      <w:r>
        <w:rPr>
          <w:lang w:val="en-US"/>
        </w:rPr>
        <w:t>The location of the transient period should be dependent on the contents of the 2oS TTI as shown in the figure</w:t>
      </w:r>
      <w:r w:rsidR="002116B9">
        <w:rPr>
          <w:lang w:val="en-US"/>
        </w:rPr>
        <w:t>s [5-8]</w:t>
      </w:r>
      <w:r>
        <w:rPr>
          <w:lang w:val="en-US"/>
        </w:rPr>
        <w:t xml:space="preserve"> below. </w:t>
      </w:r>
    </w:p>
    <w:p w:rsidR="00814ED1" w:rsidRDefault="00406DA3" w:rsidP="00F9088C">
      <w:r>
        <w:object w:dxaOrig="13395" w:dyaOrig="2946">
          <v:shape id="_x0000_i1031" type="#_x0000_t75" style="width:480.75pt;height:105.75pt" o:ole="">
            <v:imagedata r:id="rId20" o:title=""/>
          </v:shape>
          <o:OLEObject Type="Embed" ProgID="Visio.Drawing.11" ShapeID="_x0000_i1031" DrawAspect="Content" ObjectID="_1563946224" r:id="rId21"/>
        </w:object>
      </w:r>
    </w:p>
    <w:p w:rsidR="00814ED1" w:rsidRDefault="00814ED1" w:rsidP="00814ED1">
      <w:pPr>
        <w:jc w:val="center"/>
      </w:pPr>
      <w:r>
        <w:t xml:space="preserve">Figure </w:t>
      </w:r>
      <w:r w:rsidR="000265DF">
        <w:t>7</w:t>
      </w:r>
      <w:r>
        <w:t>: SRS in 2os TTI, Reference is before SRS</w:t>
      </w:r>
    </w:p>
    <w:p w:rsidR="000265DF" w:rsidRDefault="000265DF" w:rsidP="00814ED1">
      <w:pPr>
        <w:jc w:val="center"/>
      </w:pPr>
    </w:p>
    <w:p w:rsidR="00814ED1" w:rsidRDefault="00814ED1" w:rsidP="00814ED1">
      <w:pPr>
        <w:jc w:val="center"/>
      </w:pPr>
    </w:p>
    <w:p w:rsidR="00814ED1" w:rsidRDefault="00406DA3" w:rsidP="00814ED1">
      <w:pPr>
        <w:jc w:val="center"/>
      </w:pPr>
      <w:r>
        <w:object w:dxaOrig="13395" w:dyaOrig="2946">
          <v:shape id="_x0000_i1032" type="#_x0000_t75" style="width:480.75pt;height:105.75pt" o:ole="">
            <v:imagedata r:id="rId22" o:title=""/>
          </v:shape>
          <o:OLEObject Type="Embed" ProgID="Visio.Drawing.11" ShapeID="_x0000_i1032" DrawAspect="Content" ObjectID="_1563946225" r:id="rId23"/>
        </w:object>
      </w:r>
    </w:p>
    <w:p w:rsidR="00814ED1" w:rsidRDefault="00814ED1" w:rsidP="00814ED1">
      <w:pPr>
        <w:jc w:val="center"/>
      </w:pPr>
      <w:r>
        <w:t xml:space="preserve">Figure </w:t>
      </w:r>
      <w:r w:rsidR="000265DF">
        <w:t>8</w:t>
      </w:r>
      <w:r>
        <w:t xml:space="preserve">: SRS in 2os TTI, </w:t>
      </w:r>
      <w:r w:rsidR="00C451BA">
        <w:t>Data</w:t>
      </w:r>
      <w:r>
        <w:t xml:space="preserve"> is before SRS</w:t>
      </w:r>
    </w:p>
    <w:p w:rsidR="00814ED1" w:rsidRDefault="00814ED1" w:rsidP="00814ED1">
      <w:pPr>
        <w:jc w:val="center"/>
        <w:rPr>
          <w:lang w:val="en-US"/>
        </w:rPr>
      </w:pPr>
    </w:p>
    <w:p w:rsidR="00C451BA" w:rsidRDefault="00406DA3" w:rsidP="00814ED1">
      <w:pPr>
        <w:jc w:val="center"/>
      </w:pPr>
      <w:r>
        <w:object w:dxaOrig="13395" w:dyaOrig="2956">
          <v:shape id="_x0000_i1033" type="#_x0000_t75" style="width:480.75pt;height:105.75pt" o:ole="">
            <v:imagedata r:id="rId24" o:title=""/>
          </v:shape>
          <o:OLEObject Type="Embed" ProgID="Visio.Drawing.11" ShapeID="_x0000_i1033" DrawAspect="Content" ObjectID="_1563946226" r:id="rId25"/>
        </w:object>
      </w:r>
    </w:p>
    <w:p w:rsidR="00C451BA" w:rsidRDefault="00C451BA" w:rsidP="00C451BA">
      <w:pPr>
        <w:jc w:val="center"/>
      </w:pPr>
      <w:r>
        <w:t xml:space="preserve">Figure </w:t>
      </w:r>
      <w:r w:rsidR="000265DF">
        <w:t>9</w:t>
      </w:r>
      <w:r>
        <w:t>: SRS in 1msec TTI, Reference is after SRS</w:t>
      </w:r>
    </w:p>
    <w:p w:rsidR="00C451BA" w:rsidRDefault="00C451BA" w:rsidP="00C451BA">
      <w:pPr>
        <w:jc w:val="center"/>
      </w:pPr>
    </w:p>
    <w:p w:rsidR="00C451BA" w:rsidRDefault="00406DA3" w:rsidP="00C451BA">
      <w:pPr>
        <w:jc w:val="center"/>
      </w:pPr>
      <w:r>
        <w:object w:dxaOrig="13395" w:dyaOrig="2956">
          <v:shape id="_x0000_i1034" type="#_x0000_t75" style="width:480.75pt;height:105.75pt" o:ole="">
            <v:imagedata r:id="rId26" o:title=""/>
          </v:shape>
          <o:OLEObject Type="Embed" ProgID="Visio.Drawing.11" ShapeID="_x0000_i1034" DrawAspect="Content" ObjectID="_1563946227" r:id="rId27"/>
        </w:object>
      </w:r>
    </w:p>
    <w:p w:rsidR="00C451BA" w:rsidRDefault="00C451BA" w:rsidP="00C451BA">
      <w:pPr>
        <w:jc w:val="center"/>
      </w:pPr>
      <w:r>
        <w:t xml:space="preserve">Figure </w:t>
      </w:r>
      <w:r w:rsidR="000265DF">
        <w:t>10</w:t>
      </w:r>
      <w:r>
        <w:t>: SRS in 1msec TTI, Data is after SRS</w:t>
      </w:r>
    </w:p>
    <w:p w:rsidR="00C451BA" w:rsidRDefault="00C451BA" w:rsidP="00C451BA">
      <w:pPr>
        <w:jc w:val="center"/>
      </w:pPr>
    </w:p>
    <w:p w:rsidR="00C451BA" w:rsidRPr="00F9088C" w:rsidRDefault="00C451BA" w:rsidP="0096505B">
      <w:pPr>
        <w:rPr>
          <w:lang w:val="en-US"/>
        </w:rPr>
      </w:pPr>
    </w:p>
    <w:p w:rsidR="00210ACF" w:rsidRPr="005F646C" w:rsidRDefault="0033168F" w:rsidP="00210ACF">
      <w:pPr>
        <w:rPr>
          <w:b/>
          <w:lang w:val="en-US"/>
        </w:rPr>
      </w:pPr>
      <w:r w:rsidRPr="005F646C">
        <w:rPr>
          <w:b/>
          <w:lang w:val="en-US"/>
        </w:rPr>
        <w:t>Proposal 4:</w:t>
      </w:r>
    </w:p>
    <w:p w:rsidR="0033168F" w:rsidRDefault="0033168F" w:rsidP="0033168F">
      <w:pPr>
        <w:pStyle w:val="ListParagraph"/>
        <w:numPr>
          <w:ilvl w:val="0"/>
          <w:numId w:val="24"/>
        </w:numPr>
        <w:rPr>
          <w:lang w:val="en-US"/>
        </w:rPr>
      </w:pPr>
      <w:r>
        <w:rPr>
          <w:lang w:val="en-US"/>
        </w:rPr>
        <w:t>When SRS is present, the transient period between 1msec TTI and 2os TTI depends on the contents of 2os TTI</w:t>
      </w:r>
    </w:p>
    <w:p w:rsidR="0033168F" w:rsidRDefault="0033168F" w:rsidP="0033168F">
      <w:pPr>
        <w:pStyle w:val="ListParagraph"/>
        <w:numPr>
          <w:ilvl w:val="0"/>
          <w:numId w:val="24"/>
        </w:numPr>
        <w:rPr>
          <w:lang w:val="en-US"/>
        </w:rPr>
      </w:pPr>
      <w:r>
        <w:rPr>
          <w:lang w:val="en-US"/>
        </w:rPr>
        <w:t xml:space="preserve">When reference is before or after SRS then the </w:t>
      </w:r>
      <w:r w:rsidR="0066588C">
        <w:rPr>
          <w:lang w:val="en-US"/>
        </w:rPr>
        <w:t>Transient period</w:t>
      </w:r>
      <w:r>
        <w:rPr>
          <w:lang w:val="en-US"/>
        </w:rPr>
        <w:t xml:space="preserve"> should be placed entirely in reference. </w:t>
      </w:r>
    </w:p>
    <w:p w:rsidR="00437E71" w:rsidRPr="00373C8C" w:rsidRDefault="00437E71" w:rsidP="00373C8C">
      <w:pPr>
        <w:pStyle w:val="ListParagraph"/>
        <w:numPr>
          <w:ilvl w:val="0"/>
          <w:numId w:val="24"/>
        </w:numPr>
        <w:rPr>
          <w:lang w:val="en-US"/>
        </w:rPr>
      </w:pPr>
      <w:r>
        <w:rPr>
          <w:lang w:val="en-US"/>
        </w:rPr>
        <w:t>The transient period should be 20 usec.</w:t>
      </w:r>
    </w:p>
    <w:p w:rsidR="00437E71" w:rsidRPr="00437E71" w:rsidRDefault="00437E71" w:rsidP="00437E71">
      <w:pPr>
        <w:rPr>
          <w:b/>
          <w:lang w:val="en-US"/>
        </w:rPr>
      </w:pPr>
      <w:r w:rsidRPr="00437E71">
        <w:rPr>
          <w:b/>
          <w:lang w:val="en-US"/>
        </w:rPr>
        <w:t xml:space="preserve">Proposal 5: </w:t>
      </w:r>
    </w:p>
    <w:p w:rsidR="0033168F" w:rsidRDefault="0033168F" w:rsidP="0033168F">
      <w:pPr>
        <w:pStyle w:val="ListParagraph"/>
        <w:numPr>
          <w:ilvl w:val="0"/>
          <w:numId w:val="24"/>
        </w:numPr>
        <w:rPr>
          <w:lang w:val="en-US"/>
        </w:rPr>
      </w:pPr>
      <w:r>
        <w:rPr>
          <w:lang w:val="en-US"/>
        </w:rPr>
        <w:t xml:space="preserve">When Data symbol </w:t>
      </w:r>
      <w:r w:rsidR="00E05D0B">
        <w:rPr>
          <w:lang w:val="en-US"/>
        </w:rPr>
        <w:t xml:space="preserve">of 2os TTI </w:t>
      </w:r>
      <w:r>
        <w:rPr>
          <w:lang w:val="en-US"/>
        </w:rPr>
        <w:t xml:space="preserve">is before or after SRS then the </w:t>
      </w:r>
      <w:r w:rsidR="0066588C">
        <w:rPr>
          <w:lang w:val="en-US"/>
        </w:rPr>
        <w:t>Transient period</w:t>
      </w:r>
      <w:r>
        <w:rPr>
          <w:lang w:val="en-US"/>
        </w:rPr>
        <w:t xml:space="preserve"> should be shared symmetrically between SRS and data symbol of 2os TTI. </w:t>
      </w:r>
    </w:p>
    <w:p w:rsidR="00724D5E" w:rsidRPr="00373C8C" w:rsidRDefault="00724D5E" w:rsidP="00724D5E">
      <w:pPr>
        <w:pStyle w:val="ListParagraph"/>
        <w:numPr>
          <w:ilvl w:val="0"/>
          <w:numId w:val="24"/>
        </w:numPr>
        <w:rPr>
          <w:lang w:val="en-US"/>
        </w:rPr>
      </w:pPr>
      <w:r>
        <w:rPr>
          <w:lang w:val="en-US"/>
        </w:rPr>
        <w:t>The transient period should be ±10 usec.</w:t>
      </w:r>
    </w:p>
    <w:p w:rsidR="00724D5E" w:rsidRPr="00C13D63" w:rsidRDefault="00724D5E" w:rsidP="00724D5E">
      <w:pPr>
        <w:rPr>
          <w:b/>
          <w:lang w:val="en-US"/>
        </w:rPr>
      </w:pPr>
      <w:r w:rsidRPr="00C13D63">
        <w:rPr>
          <w:b/>
          <w:lang w:val="en-US"/>
        </w:rPr>
        <w:t xml:space="preserve">Proposal 6: </w:t>
      </w:r>
    </w:p>
    <w:p w:rsidR="00893CDF" w:rsidRDefault="00893CDF" w:rsidP="0033168F">
      <w:pPr>
        <w:pStyle w:val="ListParagraph"/>
        <w:numPr>
          <w:ilvl w:val="0"/>
          <w:numId w:val="24"/>
        </w:numPr>
        <w:rPr>
          <w:lang w:val="en-US"/>
        </w:rPr>
      </w:pPr>
      <w:r>
        <w:rPr>
          <w:lang w:val="en-US"/>
        </w:rPr>
        <w:t xml:space="preserve">The transient period between SRS and 1msec TTI should always be placed in the 1msec TTI. </w:t>
      </w:r>
    </w:p>
    <w:p w:rsidR="00893CDF" w:rsidRPr="0033168F" w:rsidRDefault="00893CDF" w:rsidP="0033168F">
      <w:pPr>
        <w:pStyle w:val="ListParagraph"/>
        <w:numPr>
          <w:ilvl w:val="0"/>
          <w:numId w:val="24"/>
        </w:numPr>
        <w:rPr>
          <w:lang w:val="en-US"/>
        </w:rPr>
      </w:pPr>
      <w:r>
        <w:rPr>
          <w:lang w:val="en-US"/>
        </w:rPr>
        <w:t xml:space="preserve">The transient period </w:t>
      </w:r>
      <w:r w:rsidR="00724D5E">
        <w:rPr>
          <w:lang w:val="en-US"/>
        </w:rPr>
        <w:t>should be 4</w:t>
      </w:r>
      <w:r w:rsidR="006F4B00">
        <w:rPr>
          <w:lang w:val="en-US"/>
        </w:rPr>
        <w:t>0 usec when place</w:t>
      </w:r>
      <w:r w:rsidR="00724D5E">
        <w:rPr>
          <w:lang w:val="en-US"/>
        </w:rPr>
        <w:t>d in 1msec TTI as has been the case for LTE.</w:t>
      </w:r>
    </w:p>
    <w:p w:rsidR="002619C7" w:rsidRDefault="00BF6880" w:rsidP="00F22934">
      <w:pPr>
        <w:pStyle w:val="Heading1"/>
      </w:pPr>
      <w:r>
        <w:lastRenderedPageBreak/>
        <w:t>C</w:t>
      </w:r>
      <w:r w:rsidR="00C762BF">
        <w:t>onclusion</w:t>
      </w:r>
    </w:p>
    <w:p w:rsidR="003F67D1" w:rsidRDefault="0088174F" w:rsidP="00372DA4">
      <w:r>
        <w:t xml:space="preserve">In this paper, all possible combinations of transient periods between sTTIs of same and different lengths in the presence of SRS have been proposed. </w:t>
      </w:r>
      <w:r w:rsidR="00E72CC5">
        <w:t xml:space="preserve">Proposals [1-6] define the location and the length of the transient periods in each of the cases. </w:t>
      </w:r>
    </w:p>
    <w:p w:rsidR="003F67D1" w:rsidRDefault="003F67D1" w:rsidP="00372DA4"/>
    <w:p w:rsidR="00D62CD8" w:rsidRDefault="00D62CD8" w:rsidP="00D62CD8">
      <w:pPr>
        <w:pStyle w:val="Heading1"/>
        <w:jc w:val="both"/>
      </w:pPr>
      <w:r>
        <w:t>References</w:t>
      </w:r>
    </w:p>
    <w:p w:rsidR="00084012" w:rsidRPr="00084012" w:rsidRDefault="00CD706F" w:rsidP="00084012">
      <w:r>
        <w:t xml:space="preserve">[1] </w:t>
      </w:r>
      <w:r w:rsidR="00362463" w:rsidRPr="00362463">
        <w:t>R4-1707762</w:t>
      </w:r>
      <w:r>
        <w:t xml:space="preserve">, </w:t>
      </w:r>
      <w:r w:rsidRPr="00CD706F">
        <w:t>Transient period for ON-OFF and between two sTTI transmissions</w:t>
      </w:r>
      <w:r>
        <w:t>, 3</w:t>
      </w:r>
      <w:r w:rsidRPr="00CD706F">
        <w:t>GPP TSG-RAN4 Meeting #84</w:t>
      </w:r>
      <w:r>
        <w:t xml:space="preserve">, </w:t>
      </w:r>
      <w:r w:rsidRPr="00CD706F">
        <w:t>Berlin, DE, 21st – 25th August 20</w:t>
      </w:r>
      <w:bookmarkStart w:id="0" w:name="_GoBack"/>
      <w:bookmarkEnd w:id="0"/>
      <w:r w:rsidRPr="00CD706F">
        <w:t>17</w:t>
      </w:r>
    </w:p>
    <w:sectPr w:rsidR="00084012" w:rsidRPr="00084012" w:rsidSect="007D2899">
      <w:footerReference w:type="even" r:id="rId28"/>
      <w:footerReference w:type="default" r:id="rId2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1BFF" w:rsidRDefault="00F21BFF">
      <w:r>
        <w:separator/>
      </w:r>
    </w:p>
  </w:endnote>
  <w:endnote w:type="continuationSeparator" w:id="0">
    <w:p w:rsidR="00F21BFF" w:rsidRDefault="00F21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2463">
      <w:rPr>
        <w:rStyle w:val="PageNumber"/>
      </w:rPr>
      <w:t>4</w:t>
    </w:r>
    <w:r>
      <w:rPr>
        <w:rStyle w:val="PageNumber"/>
      </w:rPr>
      <w:fldChar w:fldCharType="end"/>
    </w:r>
  </w:p>
  <w:p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1BFF" w:rsidRDefault="00F21BFF">
      <w:r>
        <w:separator/>
      </w:r>
    </w:p>
  </w:footnote>
  <w:footnote w:type="continuationSeparator" w:id="0">
    <w:p w:rsidR="00F21BFF" w:rsidRDefault="00F21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94450B"/>
    <w:multiLevelType w:val="hybridMultilevel"/>
    <w:tmpl w:val="48647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D53CC4"/>
    <w:multiLevelType w:val="hybridMultilevel"/>
    <w:tmpl w:val="C486F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9878D4"/>
    <w:multiLevelType w:val="hybridMultilevel"/>
    <w:tmpl w:val="BA68A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7F02A76"/>
    <w:multiLevelType w:val="hybridMultilevel"/>
    <w:tmpl w:val="3288D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76C4106"/>
    <w:multiLevelType w:val="hybridMultilevel"/>
    <w:tmpl w:val="AF0CD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6"/>
  </w:num>
  <w:num w:numId="3">
    <w:abstractNumId w:val="19"/>
  </w:num>
  <w:num w:numId="4">
    <w:abstractNumId w:val="22"/>
  </w:num>
  <w:num w:numId="5">
    <w:abstractNumId w:val="14"/>
  </w:num>
  <w:num w:numId="6">
    <w:abstractNumId w:val="8"/>
  </w:num>
  <w:num w:numId="7">
    <w:abstractNumId w:val="1"/>
  </w:num>
  <w:num w:numId="8">
    <w:abstractNumId w:val="18"/>
  </w:num>
  <w:num w:numId="9">
    <w:abstractNumId w:val="9"/>
  </w:num>
  <w:num w:numId="10">
    <w:abstractNumId w:val="13"/>
  </w:num>
  <w:num w:numId="11">
    <w:abstractNumId w:val="23"/>
  </w:num>
  <w:num w:numId="12">
    <w:abstractNumId w:val="21"/>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4"/>
  </w:num>
  <w:num w:numId="16">
    <w:abstractNumId w:val="3"/>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7"/>
  </w:num>
  <w:num w:numId="19">
    <w:abstractNumId w:val="11"/>
  </w:num>
  <w:num w:numId="20">
    <w:abstractNumId w:val="15"/>
  </w:num>
  <w:num w:numId="21">
    <w:abstractNumId w:val="10"/>
  </w:num>
  <w:num w:numId="22">
    <w:abstractNumId w:val="20"/>
  </w:num>
  <w:num w:numId="23">
    <w:abstractNumId w:val="2"/>
  </w:num>
  <w:num w:numId="24">
    <w:abstractNumId w:val="17"/>
  </w:num>
  <w:num w:numId="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5DF"/>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012"/>
    <w:rsid w:val="000841A8"/>
    <w:rsid w:val="00084301"/>
    <w:rsid w:val="0008452A"/>
    <w:rsid w:val="00084BE4"/>
    <w:rsid w:val="0008544F"/>
    <w:rsid w:val="00085B3A"/>
    <w:rsid w:val="00085C24"/>
    <w:rsid w:val="00085DB7"/>
    <w:rsid w:val="0008682B"/>
    <w:rsid w:val="0009084A"/>
    <w:rsid w:val="00090BB8"/>
    <w:rsid w:val="00091017"/>
    <w:rsid w:val="00092919"/>
    <w:rsid w:val="00092DCA"/>
    <w:rsid w:val="00092E07"/>
    <w:rsid w:val="000937D2"/>
    <w:rsid w:val="00093FAD"/>
    <w:rsid w:val="000940C0"/>
    <w:rsid w:val="0009458D"/>
    <w:rsid w:val="000947CB"/>
    <w:rsid w:val="00094FFF"/>
    <w:rsid w:val="00095315"/>
    <w:rsid w:val="0009628A"/>
    <w:rsid w:val="00096860"/>
    <w:rsid w:val="000972E8"/>
    <w:rsid w:val="00097818"/>
    <w:rsid w:val="000A1326"/>
    <w:rsid w:val="000A1A26"/>
    <w:rsid w:val="000A2153"/>
    <w:rsid w:val="000A2A53"/>
    <w:rsid w:val="000A2D07"/>
    <w:rsid w:val="000A31E0"/>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0E1E"/>
    <w:rsid w:val="000D19C5"/>
    <w:rsid w:val="000D1A28"/>
    <w:rsid w:val="000D2B1D"/>
    <w:rsid w:val="000D2DDE"/>
    <w:rsid w:val="000D2E2A"/>
    <w:rsid w:val="000D33D3"/>
    <w:rsid w:val="000D3487"/>
    <w:rsid w:val="000D3CB5"/>
    <w:rsid w:val="000D467F"/>
    <w:rsid w:val="000D4E0C"/>
    <w:rsid w:val="000D6053"/>
    <w:rsid w:val="000D66BB"/>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5C6"/>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0ACF"/>
    <w:rsid w:val="002116B9"/>
    <w:rsid w:val="002119C5"/>
    <w:rsid w:val="002121D7"/>
    <w:rsid w:val="002127E6"/>
    <w:rsid w:val="002133CA"/>
    <w:rsid w:val="00213AF4"/>
    <w:rsid w:val="002142D2"/>
    <w:rsid w:val="002154D9"/>
    <w:rsid w:val="00216158"/>
    <w:rsid w:val="0021749B"/>
    <w:rsid w:val="002175F8"/>
    <w:rsid w:val="00220952"/>
    <w:rsid w:val="00221BA7"/>
    <w:rsid w:val="00222DC6"/>
    <w:rsid w:val="0022336B"/>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043C"/>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4919"/>
    <w:rsid w:val="002D499F"/>
    <w:rsid w:val="002D4A80"/>
    <w:rsid w:val="002D5209"/>
    <w:rsid w:val="002D5562"/>
    <w:rsid w:val="002D5832"/>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68F"/>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2463"/>
    <w:rsid w:val="00363482"/>
    <w:rsid w:val="0036351D"/>
    <w:rsid w:val="003637F6"/>
    <w:rsid w:val="00364132"/>
    <w:rsid w:val="00364918"/>
    <w:rsid w:val="00364D22"/>
    <w:rsid w:val="0036548D"/>
    <w:rsid w:val="003667C5"/>
    <w:rsid w:val="0036684F"/>
    <w:rsid w:val="00367EDE"/>
    <w:rsid w:val="00367FA2"/>
    <w:rsid w:val="00370CDE"/>
    <w:rsid w:val="003710AC"/>
    <w:rsid w:val="003720AD"/>
    <w:rsid w:val="00372B4A"/>
    <w:rsid w:val="00372DA4"/>
    <w:rsid w:val="0037346D"/>
    <w:rsid w:val="00373574"/>
    <w:rsid w:val="00373C8C"/>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BD4"/>
    <w:rsid w:val="003D1EFA"/>
    <w:rsid w:val="003D246C"/>
    <w:rsid w:val="003D25C2"/>
    <w:rsid w:val="003D282E"/>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6DA3"/>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37E71"/>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95C"/>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A9F"/>
    <w:rsid w:val="00475ACA"/>
    <w:rsid w:val="00476B1E"/>
    <w:rsid w:val="00477349"/>
    <w:rsid w:val="00477AFF"/>
    <w:rsid w:val="00480894"/>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4156"/>
    <w:rsid w:val="004C6A32"/>
    <w:rsid w:val="004C72C7"/>
    <w:rsid w:val="004C7862"/>
    <w:rsid w:val="004C7A22"/>
    <w:rsid w:val="004D0378"/>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594"/>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179A"/>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9F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819"/>
    <w:rsid w:val="005C5F4D"/>
    <w:rsid w:val="005C6C00"/>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646C"/>
    <w:rsid w:val="005F76A4"/>
    <w:rsid w:val="005F7971"/>
    <w:rsid w:val="00600EAD"/>
    <w:rsid w:val="00602A62"/>
    <w:rsid w:val="00603617"/>
    <w:rsid w:val="0060381F"/>
    <w:rsid w:val="006046B6"/>
    <w:rsid w:val="006049FD"/>
    <w:rsid w:val="006059EE"/>
    <w:rsid w:val="00606AE4"/>
    <w:rsid w:val="00607638"/>
    <w:rsid w:val="00607AD8"/>
    <w:rsid w:val="006102C5"/>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1B3A"/>
    <w:rsid w:val="0066336E"/>
    <w:rsid w:val="006638C2"/>
    <w:rsid w:val="00663C05"/>
    <w:rsid w:val="00664E8B"/>
    <w:rsid w:val="00665702"/>
    <w:rsid w:val="0066588C"/>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2DA"/>
    <w:rsid w:val="0069257A"/>
    <w:rsid w:val="006937D5"/>
    <w:rsid w:val="0069399C"/>
    <w:rsid w:val="00693B21"/>
    <w:rsid w:val="006947F0"/>
    <w:rsid w:val="00694B07"/>
    <w:rsid w:val="00694BAD"/>
    <w:rsid w:val="00695D19"/>
    <w:rsid w:val="00696D35"/>
    <w:rsid w:val="00697217"/>
    <w:rsid w:val="0069757C"/>
    <w:rsid w:val="006A0E7E"/>
    <w:rsid w:val="006A0FC3"/>
    <w:rsid w:val="006A128A"/>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B00"/>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3DCE"/>
    <w:rsid w:val="00715F13"/>
    <w:rsid w:val="00716001"/>
    <w:rsid w:val="00717421"/>
    <w:rsid w:val="00717AAF"/>
    <w:rsid w:val="00721399"/>
    <w:rsid w:val="0072166E"/>
    <w:rsid w:val="00721679"/>
    <w:rsid w:val="00721D85"/>
    <w:rsid w:val="007225D7"/>
    <w:rsid w:val="00722F02"/>
    <w:rsid w:val="00723562"/>
    <w:rsid w:val="007236F8"/>
    <w:rsid w:val="00723AFC"/>
    <w:rsid w:val="0072477F"/>
    <w:rsid w:val="00724D5E"/>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6F4"/>
    <w:rsid w:val="007850F8"/>
    <w:rsid w:val="00785352"/>
    <w:rsid w:val="00786A8F"/>
    <w:rsid w:val="007902F8"/>
    <w:rsid w:val="00790FEC"/>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131B"/>
    <w:rsid w:val="007D1ABE"/>
    <w:rsid w:val="007D2289"/>
    <w:rsid w:val="007D2899"/>
    <w:rsid w:val="007D2AE8"/>
    <w:rsid w:val="007D42D1"/>
    <w:rsid w:val="007D47CD"/>
    <w:rsid w:val="007D6CE6"/>
    <w:rsid w:val="007E1193"/>
    <w:rsid w:val="007E1275"/>
    <w:rsid w:val="007E211F"/>
    <w:rsid w:val="007E2178"/>
    <w:rsid w:val="007E32D9"/>
    <w:rsid w:val="007E3565"/>
    <w:rsid w:val="007E57E8"/>
    <w:rsid w:val="007E5B8D"/>
    <w:rsid w:val="007E6511"/>
    <w:rsid w:val="007E74E4"/>
    <w:rsid w:val="007F047B"/>
    <w:rsid w:val="007F08A3"/>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4ED1"/>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236"/>
    <w:rsid w:val="008279F6"/>
    <w:rsid w:val="00827F68"/>
    <w:rsid w:val="008303EF"/>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4F"/>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3CDF"/>
    <w:rsid w:val="0089466D"/>
    <w:rsid w:val="008951A8"/>
    <w:rsid w:val="00895FAE"/>
    <w:rsid w:val="008968D7"/>
    <w:rsid w:val="00896DB2"/>
    <w:rsid w:val="00896EB8"/>
    <w:rsid w:val="008A0E21"/>
    <w:rsid w:val="008A0EE4"/>
    <w:rsid w:val="008A1090"/>
    <w:rsid w:val="008A1BD9"/>
    <w:rsid w:val="008A1EB8"/>
    <w:rsid w:val="008A2168"/>
    <w:rsid w:val="008A2610"/>
    <w:rsid w:val="008A2701"/>
    <w:rsid w:val="008A3CE9"/>
    <w:rsid w:val="008A452A"/>
    <w:rsid w:val="008A4C71"/>
    <w:rsid w:val="008A54B9"/>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5C7"/>
    <w:rsid w:val="008E2C29"/>
    <w:rsid w:val="008E3533"/>
    <w:rsid w:val="008E44C5"/>
    <w:rsid w:val="008E5C4F"/>
    <w:rsid w:val="008E6A37"/>
    <w:rsid w:val="008E742E"/>
    <w:rsid w:val="008F009E"/>
    <w:rsid w:val="008F05D8"/>
    <w:rsid w:val="008F0611"/>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5B"/>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6FF"/>
    <w:rsid w:val="009B7262"/>
    <w:rsid w:val="009B73DC"/>
    <w:rsid w:val="009C04FC"/>
    <w:rsid w:val="009C0B50"/>
    <w:rsid w:val="009C20D2"/>
    <w:rsid w:val="009C22CD"/>
    <w:rsid w:val="009C266C"/>
    <w:rsid w:val="009C2D78"/>
    <w:rsid w:val="009C2E58"/>
    <w:rsid w:val="009C35FC"/>
    <w:rsid w:val="009C3935"/>
    <w:rsid w:val="009C412C"/>
    <w:rsid w:val="009C46D2"/>
    <w:rsid w:val="009C4F21"/>
    <w:rsid w:val="009C591E"/>
    <w:rsid w:val="009C5C71"/>
    <w:rsid w:val="009C5DCE"/>
    <w:rsid w:val="009C611F"/>
    <w:rsid w:val="009C669D"/>
    <w:rsid w:val="009C67FD"/>
    <w:rsid w:val="009C6DFC"/>
    <w:rsid w:val="009C7062"/>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7216"/>
    <w:rsid w:val="009F7497"/>
    <w:rsid w:val="009F795D"/>
    <w:rsid w:val="00A00224"/>
    <w:rsid w:val="00A00386"/>
    <w:rsid w:val="00A00DD6"/>
    <w:rsid w:val="00A00E73"/>
    <w:rsid w:val="00A027AF"/>
    <w:rsid w:val="00A02815"/>
    <w:rsid w:val="00A0365B"/>
    <w:rsid w:val="00A038E7"/>
    <w:rsid w:val="00A04AB4"/>
    <w:rsid w:val="00A061EC"/>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94D"/>
    <w:rsid w:val="00A27A6E"/>
    <w:rsid w:val="00A3037E"/>
    <w:rsid w:val="00A3069E"/>
    <w:rsid w:val="00A30ADB"/>
    <w:rsid w:val="00A310A7"/>
    <w:rsid w:val="00A31110"/>
    <w:rsid w:val="00A321A2"/>
    <w:rsid w:val="00A33BE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4727"/>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2F1A"/>
    <w:rsid w:val="00C036B6"/>
    <w:rsid w:val="00C043E2"/>
    <w:rsid w:val="00C04709"/>
    <w:rsid w:val="00C04A67"/>
    <w:rsid w:val="00C0508A"/>
    <w:rsid w:val="00C067B5"/>
    <w:rsid w:val="00C07F60"/>
    <w:rsid w:val="00C07FC4"/>
    <w:rsid w:val="00C11D7B"/>
    <w:rsid w:val="00C12625"/>
    <w:rsid w:val="00C12EB8"/>
    <w:rsid w:val="00C13D63"/>
    <w:rsid w:val="00C141EB"/>
    <w:rsid w:val="00C14AAF"/>
    <w:rsid w:val="00C14BAC"/>
    <w:rsid w:val="00C15058"/>
    <w:rsid w:val="00C15C1A"/>
    <w:rsid w:val="00C15D84"/>
    <w:rsid w:val="00C175A7"/>
    <w:rsid w:val="00C175EC"/>
    <w:rsid w:val="00C205BF"/>
    <w:rsid w:val="00C205E5"/>
    <w:rsid w:val="00C20D53"/>
    <w:rsid w:val="00C21180"/>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845"/>
    <w:rsid w:val="00C3796D"/>
    <w:rsid w:val="00C42FFC"/>
    <w:rsid w:val="00C4302C"/>
    <w:rsid w:val="00C431E3"/>
    <w:rsid w:val="00C432F5"/>
    <w:rsid w:val="00C43598"/>
    <w:rsid w:val="00C451BA"/>
    <w:rsid w:val="00C47419"/>
    <w:rsid w:val="00C517EC"/>
    <w:rsid w:val="00C52110"/>
    <w:rsid w:val="00C52CCA"/>
    <w:rsid w:val="00C541D2"/>
    <w:rsid w:val="00C549FE"/>
    <w:rsid w:val="00C55AB5"/>
    <w:rsid w:val="00C56370"/>
    <w:rsid w:val="00C571F6"/>
    <w:rsid w:val="00C5751B"/>
    <w:rsid w:val="00C61342"/>
    <w:rsid w:val="00C615C8"/>
    <w:rsid w:val="00C62B10"/>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475"/>
    <w:rsid w:val="00CD2AF4"/>
    <w:rsid w:val="00CD3343"/>
    <w:rsid w:val="00CD353F"/>
    <w:rsid w:val="00CD3742"/>
    <w:rsid w:val="00CD3907"/>
    <w:rsid w:val="00CD3D03"/>
    <w:rsid w:val="00CD41D2"/>
    <w:rsid w:val="00CD4D4E"/>
    <w:rsid w:val="00CD5113"/>
    <w:rsid w:val="00CD5BE1"/>
    <w:rsid w:val="00CD6617"/>
    <w:rsid w:val="00CD6660"/>
    <w:rsid w:val="00CD67F1"/>
    <w:rsid w:val="00CD706F"/>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378"/>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473"/>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44"/>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5A37"/>
    <w:rsid w:val="00DC6670"/>
    <w:rsid w:val="00DC6AC1"/>
    <w:rsid w:val="00DC743A"/>
    <w:rsid w:val="00DC7A31"/>
    <w:rsid w:val="00DD0195"/>
    <w:rsid w:val="00DD0B6A"/>
    <w:rsid w:val="00DD17BD"/>
    <w:rsid w:val="00DD335A"/>
    <w:rsid w:val="00DD48D9"/>
    <w:rsid w:val="00DD68D5"/>
    <w:rsid w:val="00DD6D22"/>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D0B"/>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2CC5"/>
    <w:rsid w:val="00E742B9"/>
    <w:rsid w:val="00E74A7C"/>
    <w:rsid w:val="00E7535E"/>
    <w:rsid w:val="00E75EBB"/>
    <w:rsid w:val="00E7685E"/>
    <w:rsid w:val="00E8023E"/>
    <w:rsid w:val="00E80295"/>
    <w:rsid w:val="00E809C5"/>
    <w:rsid w:val="00E81602"/>
    <w:rsid w:val="00E81C25"/>
    <w:rsid w:val="00E81CCA"/>
    <w:rsid w:val="00E82948"/>
    <w:rsid w:val="00E82EB4"/>
    <w:rsid w:val="00E83311"/>
    <w:rsid w:val="00E8344A"/>
    <w:rsid w:val="00E83905"/>
    <w:rsid w:val="00E83C5F"/>
    <w:rsid w:val="00E848F3"/>
    <w:rsid w:val="00E84BF5"/>
    <w:rsid w:val="00E84FCB"/>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77E3"/>
    <w:rsid w:val="00F17EA6"/>
    <w:rsid w:val="00F20C2B"/>
    <w:rsid w:val="00F21135"/>
    <w:rsid w:val="00F21864"/>
    <w:rsid w:val="00F21BFF"/>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088C"/>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A72E9"/>
    <w:rsid w:val="00FB029F"/>
    <w:rsid w:val="00FB06B4"/>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ilvl w:val="0"/>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spacing w:before="240"/>
      <w:ind w:left="0" w:firstLine="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707E6-1A85-4FE9-841B-361F2FB70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148</TotalTime>
  <Pages>5</Pages>
  <Words>618</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54</cp:revision>
  <cp:lastPrinted>2016-03-25T21:53:00Z</cp:lastPrinted>
  <dcterms:created xsi:type="dcterms:W3CDTF">2017-07-21T16:59:00Z</dcterms:created>
  <dcterms:modified xsi:type="dcterms:W3CDTF">2017-08-11T15:42:00Z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